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outlineLvl w:val="0"/>
        <w:rPr>
          <w:b/>
          <w:b/>
          <w:color w:val="000000"/>
          <w:szCs w:val="24"/>
        </w:rPr>
      </w:pPr>
      <w:r>
        <w:rPr>
          <w:b/>
          <w:color w:val="000000"/>
          <w:szCs w:val="24"/>
        </w:rPr>
      </w:r>
    </w:p>
    <w:p>
      <w:pPr>
        <w:pStyle w:val="Normal"/>
        <w:numPr>
          <w:ilvl w:val="0"/>
          <w:numId w:val="0"/>
        </w:numPr>
        <w:jc w:val="center"/>
        <w:outlineLvl w:val="0"/>
        <w:rPr>
          <w:b/>
          <w:b/>
          <w:color w:val="000000"/>
          <w:szCs w:val="24"/>
        </w:rPr>
      </w:pPr>
      <w:r>
        <w:rPr>
          <w:b/>
          <w:color w:val="000000"/>
          <w:szCs w:val="24"/>
        </w:rPr>
        <w:t>ALLEGATO SCHEDA C</w:t>
      </w:r>
    </w:p>
    <w:p>
      <w:pPr>
        <w:pStyle w:val="Normal"/>
        <w:jc w:val="both"/>
        <w:rPr>
          <w:b/>
          <w:b/>
          <w:color w:val="000000"/>
          <w:szCs w:val="24"/>
        </w:rPr>
      </w:pPr>
      <w:r>
        <w:rPr>
          <w:b/>
          <w:color w:val="000000"/>
          <w:szCs w:val="24"/>
        </w:rPr>
        <w:t>Modulo integrativo per le scelte degli alunni che non si avvalgono dell’insegnamento della religione cattolica</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Allievo _________________________________________________________________</w:t>
      </w:r>
    </w:p>
    <w:p>
      <w:pPr>
        <w:pStyle w:val="Normal"/>
        <w:rPr>
          <w:b/>
          <w:b/>
          <w:bCs/>
          <w:color w:val="000000"/>
          <w:szCs w:val="24"/>
        </w:rPr>
      </w:pPr>
      <w:r>
        <w:rPr>
          <w:b/>
          <w:bCs/>
          <w:color w:val="000000"/>
          <w:szCs w:val="24"/>
        </w:rPr>
      </w:r>
    </w:p>
    <w:p>
      <w:pPr>
        <w:pStyle w:val="Normal"/>
        <w:rPr>
          <w:b/>
          <w:b/>
          <w:bCs/>
          <w:color w:val="000000"/>
          <w:szCs w:val="24"/>
        </w:rPr>
      </w:pPr>
      <w:r>
        <w:rPr>
          <w:b/>
          <w:bCs/>
          <w:color w:val="000000"/>
          <w:szCs w:val="24"/>
        </w:rPr>
        <w:t>La scelta operata ha effetto per l’intero anno scolastico cui si riferisce.</w:t>
      </w:r>
    </w:p>
    <w:p>
      <w:pPr>
        <w:pStyle w:val="Normal"/>
        <w:rPr>
          <w:b/>
          <w:b/>
          <w:bCs/>
          <w:color w:val="000000"/>
          <w:szCs w:val="24"/>
        </w:rPr>
      </w:pPr>
      <w:r>
        <w:rPr>
          <w:b/>
          <w:bCs/>
          <w:color w:val="000000"/>
          <w:szCs w:val="24"/>
        </w:rPr>
      </w:r>
    </w:p>
    <w:p>
      <w:pPr>
        <w:pStyle w:val="Normal"/>
        <w:rPr>
          <w:b/>
          <w:b/>
          <w:bCs/>
          <w:color w:val="000000"/>
          <w:szCs w:val="24"/>
        </w:rPr>
      </w:pPr>
      <w:r>
        <w:rPr>
          <w:b/>
          <w:bCs/>
          <w:color w:val="000000"/>
          <w:szCs w:val="24"/>
        </w:rPr>
      </w:r>
    </w:p>
    <w:tbl>
      <w:tblPr>
        <w:tblStyle w:val="Grigliatabella"/>
        <w:tblW w:w="962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48"/>
        <w:gridCol w:w="4176"/>
      </w:tblGrid>
      <w:tr>
        <w:trPr/>
        <w:tc>
          <w:tcPr>
            <w:tcW w:w="9624" w:type="dxa"/>
            <w:gridSpan w:val="2"/>
            <w:tcBorders/>
          </w:tcPr>
          <w:p>
            <w:pPr>
              <w:pStyle w:val="Normal"/>
              <w:widowControl/>
              <w:spacing w:before="0" w:after="0"/>
              <w:jc w:val="center"/>
              <w:rPr>
                <w:kern w:val="0"/>
                <w:sz w:val="24"/>
                <w:szCs w:val="24"/>
                <w:shd w:fill="auto" w:val="clear"/>
                <w:lang w:val="it-IT" w:bidi="ar-SA"/>
              </w:rPr>
            </w:pPr>
            <w:r>
              <w:rPr>
                <w:b/>
                <w:kern w:val="0"/>
                <w:sz w:val="24"/>
                <w:szCs w:val="24"/>
                <w:shd w:fill="auto" w:val="clear"/>
                <w:lang w:val="it-IT" w:bidi="ar-SA"/>
              </w:rPr>
              <w:t>Attività alternative alla R.C</w:t>
            </w:r>
          </w:p>
        </w:tc>
      </w:tr>
      <w:tr>
        <w:trPr>
          <w:trHeight w:val="1136" w:hRule="atLeast"/>
        </w:trPr>
        <w:tc>
          <w:tcPr>
            <w:tcW w:w="5448" w:type="dxa"/>
            <w:vMerge w:val="restart"/>
            <w:tcBorders/>
          </w:tcPr>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left"/>
              <w:rPr>
                <w:rFonts w:ascii="Times New Roman" w:hAnsi="Times New Roman"/>
                <w:kern w:val="0"/>
                <w:sz w:val="24"/>
                <w:szCs w:val="24"/>
                <w:shd w:fill="auto" w:val="clear"/>
                <w:lang w:val="it-IT" w:bidi="ar-SA"/>
              </w:rPr>
            </w:pPr>
            <w:r>
              <w:rPr>
                <w:rFonts w:eastAsia="Wingdings" w:cs="Wingdings" w:ascii="Times New Roman" w:hAnsi="Times New Roman"/>
                <w:color w:val="000000"/>
                <w:kern w:val="0"/>
                <w:sz w:val="24"/>
                <w:szCs w:val="24"/>
                <w:shd w:fill="auto" w:val="clear"/>
                <w:lang w:val="it-IT" w:bidi="ar-SA"/>
              </w:rPr>
              <w:t></w:t>
            </w:r>
            <w:r>
              <w:rPr>
                <w:rFonts w:ascii="Times New Roman" w:hAnsi="Times New Roman"/>
                <w:color w:val="000000"/>
                <w:kern w:val="0"/>
                <w:sz w:val="24"/>
                <w:szCs w:val="24"/>
                <w:shd w:fill="auto" w:val="clear"/>
                <w:lang w:val="it-IT" w:bidi="ar-SA"/>
              </w:rPr>
              <w:t xml:space="preserve"> </w:t>
            </w:r>
            <w:r>
              <w:rPr>
                <w:rFonts w:ascii="Times New Roman" w:hAnsi="Times New Roman"/>
                <w:color w:val="000000"/>
                <w:kern w:val="0"/>
                <w:sz w:val="24"/>
                <w:szCs w:val="24"/>
                <w:shd w:fill="auto" w:val="clear"/>
                <w:lang w:val="it-IT" w:bidi="ar-SA"/>
              </w:rPr>
              <w:t>NON FREQUENZA DELLA SCUOLA NELLE ORE DI INSEGNAMENTO DELLA RELIGIONE CATTOLICA</w:t>
            </w:r>
          </w:p>
        </w:tc>
        <w:tc>
          <w:tcPr>
            <w:tcW w:w="4176" w:type="dxa"/>
            <w:tcBorders/>
            <w:vAlign w:val="center"/>
          </w:tcPr>
          <w:p>
            <w:pPr>
              <w:pStyle w:val="Normal"/>
              <w:widowControl/>
              <w:spacing w:before="0" w:after="0"/>
              <w:jc w:val="left"/>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t>Ingresso Posticipato</w:t>
            </w:r>
          </w:p>
        </w:tc>
      </w:tr>
      <w:tr>
        <w:trPr>
          <w:trHeight w:val="1125" w:hRule="atLeast"/>
        </w:trPr>
        <w:tc>
          <w:tcPr>
            <w:tcW w:w="5448" w:type="dxa"/>
            <w:vMerge w:val="continue"/>
            <w:tcBorders/>
          </w:tcPr>
          <w:p>
            <w:pPr>
              <w:pStyle w:val="Normal"/>
              <w:widowControl/>
              <w:spacing w:before="0" w:after="0"/>
              <w:jc w:val="left"/>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tc>
        <w:tc>
          <w:tcPr>
            <w:tcW w:w="4176" w:type="dxa"/>
            <w:tcBorders/>
            <w:vAlign w:val="center"/>
          </w:tcPr>
          <w:p>
            <w:pPr>
              <w:pStyle w:val="Normal"/>
              <w:widowControl/>
              <w:spacing w:before="0" w:after="0"/>
              <w:jc w:val="left"/>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t>Uscite Anticipate</w:t>
            </w:r>
          </w:p>
        </w:tc>
      </w:tr>
      <w:tr>
        <w:trPr/>
        <w:tc>
          <w:tcPr>
            <w:tcW w:w="9624" w:type="dxa"/>
            <w:gridSpan w:val="2"/>
            <w:tcBorders/>
          </w:tcPr>
          <w:p>
            <w:pPr>
              <w:pStyle w:val="Normal"/>
              <w:widowControl/>
              <w:spacing w:before="0" w:after="0"/>
              <w:jc w:val="left"/>
              <w:rPr>
                <w:rFonts w:ascii="Times New Roman" w:hAnsi="Times New Roman"/>
                <w:color w:val="000000"/>
                <w:kern w:val="0"/>
                <w:sz w:val="24"/>
                <w:szCs w:val="24"/>
                <w:shd w:fill="auto" w:val="clear"/>
                <w:lang w:val="it-IT" w:bidi="ar-SA"/>
              </w:rPr>
            </w:pPr>
            <w:r>
              <w:rPr>
                <w:rFonts w:ascii="Times New Roman" w:hAnsi="Times New Roman"/>
                <w:color w:val="000000"/>
                <w:kern w:val="0"/>
                <w:sz w:val="24"/>
                <w:szCs w:val="24"/>
                <w:shd w:fill="auto" w:val="clear"/>
                <w:lang w:val="it-IT" w:bidi="ar-SA"/>
              </w:rPr>
            </w:r>
          </w:p>
          <w:p>
            <w:pPr>
              <w:pStyle w:val="Normal"/>
              <w:widowControl/>
              <w:spacing w:before="0" w:after="0"/>
              <w:jc w:val="left"/>
              <w:rPr>
                <w:rFonts w:ascii="Times New Roman" w:hAnsi="Times New Roman"/>
                <w:kern w:val="0"/>
                <w:sz w:val="24"/>
                <w:szCs w:val="24"/>
                <w:shd w:fill="auto" w:val="clear"/>
                <w:lang w:val="it-IT" w:bidi="ar-SA"/>
              </w:rPr>
            </w:pPr>
            <w:r>
              <w:rPr>
                <w:rFonts w:ascii="Times New Roman" w:hAnsi="Times New Roman"/>
                <w:color w:val="000000"/>
                <w:kern w:val="0"/>
                <w:sz w:val="24"/>
                <w:szCs w:val="24"/>
                <w:shd w:fill="auto" w:val="clear"/>
                <w:lang w:val="it-IT" w:bidi="ar-SA"/>
              </w:rPr>
              <w:t xml:space="preserve">   </w:t>
            </w:r>
            <w:r>
              <w:rPr>
                <w:rFonts w:eastAsia="Wingdings" w:cs="Wingdings" w:ascii="Times New Roman" w:hAnsi="Times New Roman"/>
                <w:color w:val="000000"/>
                <w:kern w:val="0"/>
                <w:sz w:val="24"/>
                <w:szCs w:val="24"/>
                <w:shd w:fill="auto" w:val="clear"/>
                <w:lang w:val="it-IT" w:bidi="ar-SA"/>
              </w:rPr>
              <w:t></w:t>
            </w:r>
            <w:r>
              <w:rPr>
                <w:rFonts w:ascii="Times New Roman" w:hAnsi="Times New Roman"/>
                <w:color w:val="000000"/>
                <w:kern w:val="0"/>
                <w:sz w:val="24"/>
                <w:szCs w:val="24"/>
                <w:shd w:fill="auto" w:val="clear"/>
                <w:lang w:val="it-IT" w:bidi="ar-SA"/>
              </w:rPr>
              <w:t xml:space="preserve"> </w:t>
            </w:r>
            <w:r>
              <w:rPr>
                <w:rFonts w:ascii="Times New Roman" w:hAnsi="Times New Roman"/>
                <w:color w:val="000000"/>
                <w:kern w:val="0"/>
                <w:sz w:val="24"/>
                <w:szCs w:val="24"/>
                <w:shd w:fill="auto" w:val="clear"/>
                <w:lang w:val="it-IT" w:bidi="ar-SA"/>
              </w:rPr>
              <w:t>ATTIVITÀ DIDATTICHE E FORMATIVE</w:t>
              <w:tab/>
              <w:t>DI STUDIO E/O DI RICERCA   CON ASSISTENZA DI PERSONALE DOCENTE NEL RISPETTO DELLE SEGUENTI AREE TEMATICHE:</w:t>
            </w:r>
          </w:p>
        </w:tc>
      </w:tr>
      <w:tr>
        <w:trPr/>
        <w:tc>
          <w:tcPr>
            <w:tcW w:w="5448" w:type="dxa"/>
            <w:vMerge w:val="restart"/>
            <w:tcBorders/>
          </w:tcPr>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p>
            <w:pPr>
              <w:pStyle w:val="Normal"/>
              <w:widowControl/>
              <w:spacing w:before="0" w:after="0"/>
              <w:jc w:val="center"/>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t>Aree Tematiche</w:t>
            </w:r>
          </w:p>
        </w:tc>
        <w:tc>
          <w:tcPr>
            <w:tcW w:w="4176" w:type="dxa"/>
            <w:tcBorders/>
          </w:tcPr>
          <w:p>
            <w:pPr>
              <w:pStyle w:val="Normal"/>
              <w:widowControl/>
              <w:spacing w:before="0" w:after="0"/>
              <w:jc w:val="left"/>
              <w:rPr>
                <w:rFonts w:ascii="Times New Roman" w:hAnsi="Times New Roman"/>
                <w:kern w:val="0"/>
                <w:sz w:val="24"/>
                <w:szCs w:val="24"/>
                <w:shd w:fill="auto" w:val="clear"/>
                <w:lang w:val="it-IT" w:bidi="ar-SA"/>
              </w:rPr>
            </w:pPr>
            <w:r>
              <w:rPr>
                <w:rFonts w:ascii="Times New Roman" w:hAnsi="Times New Roman"/>
                <w:b/>
                <w:bCs/>
                <w:color w:val="000000" w:themeColor="text1"/>
                <w:kern w:val="0"/>
                <w:sz w:val="24"/>
                <w:szCs w:val="24"/>
                <w:shd w:fill="auto" w:val="clear"/>
                <w:lang w:val="it-IT" w:bidi="ar-SA"/>
              </w:rPr>
              <w:t>Legalità e diritti umani</w:t>
            </w:r>
            <w:r>
              <w:rPr>
                <w:rFonts w:ascii="Times New Roman" w:hAnsi="Times New Roman"/>
                <w:color w:val="000000" w:themeColor="text1"/>
                <w:kern w:val="0"/>
                <w:sz w:val="24"/>
                <w:szCs w:val="24"/>
                <w:shd w:fill="auto" w:val="clear"/>
                <w:lang w:val="it-IT" w:bidi="ar-SA"/>
              </w:rPr>
              <w:t>: si approfondiranno lo studio della nostra Carta costituzionale e delle principali leggi nazionali e internazionali. L’obiettivo sarà quello di fornire agli studenti gli strumenti per conoscere i propri diritti e doveri, di formare cittadini responsabili e attivi che partecipano pienamente e con consapevolezza alla vita civica, culturale e sociale della loro comunità. COSTITUZIONE: diritto (nazionale e internazionale), legalità e solidarietà; SVILUPPO SOSTENIBILE: educazione ambientale, conoscenza e tutela del patrimonio e del territorio; CITTADINANZA DIGITALE: capacità di un individuo di avvalersi consapevolmente e responsabilmente dei mezzi di comunicazione virtuali.</w:t>
            </w:r>
          </w:p>
        </w:tc>
      </w:tr>
      <w:tr>
        <w:trPr/>
        <w:tc>
          <w:tcPr>
            <w:tcW w:w="5448" w:type="dxa"/>
            <w:vMerge w:val="continue"/>
            <w:tcBorders/>
          </w:tcPr>
          <w:p>
            <w:pPr>
              <w:pStyle w:val="Normal"/>
              <w:widowControl/>
              <w:spacing w:before="0" w:after="0"/>
              <w:jc w:val="left"/>
              <w:rPr>
                <w:rFonts w:ascii="Times New Roman" w:hAnsi="Times New Roman"/>
                <w:kern w:val="0"/>
                <w:sz w:val="24"/>
                <w:szCs w:val="24"/>
                <w:shd w:fill="auto" w:val="clear"/>
                <w:lang w:val="it-IT" w:bidi="ar-SA"/>
              </w:rPr>
            </w:pPr>
            <w:r>
              <w:rPr>
                <w:rFonts w:ascii="Times New Roman" w:hAnsi="Times New Roman"/>
                <w:kern w:val="0"/>
                <w:sz w:val="24"/>
                <w:szCs w:val="24"/>
                <w:shd w:fill="auto" w:val="clear"/>
                <w:lang w:val="it-IT" w:bidi="ar-SA"/>
              </w:rPr>
            </w:r>
          </w:p>
        </w:tc>
        <w:tc>
          <w:tcPr>
            <w:tcW w:w="4176" w:type="dxa"/>
            <w:tcBorders/>
          </w:tcPr>
          <w:p>
            <w:pPr>
              <w:pStyle w:val="Normal"/>
              <w:widowControl/>
              <w:spacing w:before="0" w:after="0"/>
              <w:jc w:val="left"/>
              <w:rPr>
                <w:rFonts w:ascii="Times New Roman" w:hAnsi="Times New Roman"/>
                <w:kern w:val="0"/>
                <w:sz w:val="24"/>
                <w:szCs w:val="24"/>
                <w:shd w:fill="auto" w:val="clear"/>
                <w:lang w:val="it-IT" w:bidi="ar-SA"/>
              </w:rPr>
            </w:pPr>
            <w:r>
              <w:rPr>
                <w:rFonts w:ascii="Times New Roman" w:hAnsi="Times New Roman"/>
                <w:b/>
                <w:bCs/>
                <w:color w:val="000000" w:themeColor="text1"/>
                <w:kern w:val="0"/>
                <w:sz w:val="24"/>
                <w:szCs w:val="24"/>
                <w:shd w:fill="auto" w:val="clear"/>
                <w:lang w:val="it-IT" w:bidi="ar-SA"/>
              </w:rPr>
              <w:t>Educazione ambientale</w:t>
            </w:r>
            <w:r>
              <w:rPr>
                <w:rFonts w:ascii="Times New Roman" w:hAnsi="Times New Roman"/>
                <w:color w:val="000000" w:themeColor="text1"/>
                <w:kern w:val="0"/>
                <w:sz w:val="24"/>
                <w:szCs w:val="24"/>
                <w:shd w:fill="auto" w:val="clear"/>
                <w:lang w:val="it-IT" w:bidi="ar-SA"/>
              </w:rPr>
              <w:t>: saranno affrontate tematiche di educazione ambientale, </w:t>
            </w:r>
            <w:r>
              <w:rPr>
                <w:rFonts w:ascii="Times New Roman" w:hAnsi="Times New Roman"/>
                <w:color w:val="000000" w:themeColor="text1"/>
                <w:spacing w:val="-2"/>
                <w:kern w:val="0"/>
                <w:sz w:val="24"/>
                <w:szCs w:val="24"/>
                <w:shd w:fill="auto" w:val="clear"/>
                <w:lang w:val="it-IT" w:bidi="ar-SA"/>
              </w:rPr>
              <w:t>conoscenza </w:t>
            </w:r>
            <w:r>
              <w:rPr>
                <w:rFonts w:ascii="Times New Roman" w:hAnsi="Times New Roman"/>
                <w:color w:val="000000" w:themeColor="text1"/>
                <w:kern w:val="0"/>
                <w:sz w:val="24"/>
                <w:szCs w:val="24"/>
                <w:shd w:fill="auto" w:val="clear"/>
                <w:lang w:val="it-IT" w:bidi="ar-SA"/>
              </w:rPr>
              <w:t>e tutela del patrimonio e del territorio, tenendo conto degli obiettivi dell’Agenda 2030 dell’ONU. Lo sviluppo sostenibile rientrerà, e diffondere buone pratiche di prevenzione, riutilizzo e riciclo dei rifiuti, nonché di tutela dell’ambiente naturale e di rispetto, cura e manutenzione dei beni comuni.</w:t>
            </w:r>
          </w:p>
        </w:tc>
      </w:tr>
      <w:tr>
        <w:trPr/>
        <w:tc>
          <w:tcPr>
            <w:tcW w:w="5448" w:type="dxa"/>
            <w:vMerge w:val="continue"/>
            <w:tcBorders/>
            <w:shd w:color="auto" w:fill="DAEEF3" w:themeFill="accent5" w:themeFillTint="33" w:val="clear"/>
          </w:tcPr>
          <w:p>
            <w:pPr>
              <w:pStyle w:val="Normal"/>
              <w:widowControl/>
              <w:spacing w:before="0" w:after="0"/>
              <w:jc w:val="left"/>
              <w:rPr>
                <w:sz w:val="52"/>
              </w:rPr>
            </w:pPr>
            <w:r>
              <w:rPr>
                <w:kern w:val="0"/>
                <w:sz w:val="52"/>
                <w:lang w:val="it-IT" w:bidi="ar-SA"/>
              </w:rPr>
            </w:r>
          </w:p>
        </w:tc>
        <w:tc>
          <w:tcPr>
            <w:tcW w:w="4176" w:type="dxa"/>
            <w:tcBorders/>
          </w:tcPr>
          <w:p>
            <w:pPr>
              <w:pStyle w:val="Normal"/>
              <w:widowControl/>
              <w:shd w:val="clear" w:color="auto" w:fill="FFFFFF"/>
              <w:spacing w:before="0" w:after="300"/>
              <w:jc w:val="left"/>
              <w:rPr>
                <w:color w:val="000000" w:themeColor="text1"/>
                <w:szCs w:val="24"/>
              </w:rPr>
            </w:pPr>
            <w:r>
              <w:rPr>
                <w:b/>
                <w:bCs/>
                <w:color w:val="000000" w:themeColor="text1"/>
                <w:kern w:val="0"/>
                <w:szCs w:val="24"/>
                <w:lang w:val="it-IT" w:bidi="ar-SA"/>
              </w:rPr>
              <w:t>Cittadinanza attiva</w:t>
            </w:r>
            <w:r>
              <w:rPr>
                <w:color w:val="000000" w:themeColor="text1"/>
                <w:kern w:val="0"/>
                <w:szCs w:val="24"/>
                <w:lang w:val="it-IT" w:bidi="ar-SA"/>
              </w:rPr>
              <w:t>: saranno predisposte attività volte sviluppare e potenziare la cittadinanza, a tre livelli:</w:t>
            </w:r>
          </w:p>
          <w:p>
            <w:pPr>
              <w:pStyle w:val="Normal"/>
              <w:widowControl/>
              <w:shd w:val="clear" w:color="auto" w:fill="FFFFFF"/>
              <w:spacing w:lineRule="atLeast" w:line="312" w:before="0" w:after="300"/>
              <w:jc w:val="left"/>
              <w:rPr>
                <w:color w:val="000000" w:themeColor="text1"/>
                <w:szCs w:val="24"/>
              </w:rPr>
            </w:pPr>
            <w:r>
              <w:rPr>
                <w:color w:val="000000" w:themeColor="text1"/>
                <w:kern w:val="0"/>
                <w:szCs w:val="24"/>
                <w:lang w:val="it-IT" w:bidi="ar-SA"/>
              </w:rPr>
              <w:t>-“Sapere” e “saper pensare”, per sviluppare una cittadinanza riflessiva attraverso libertà, tolleranza, uguaglianza e solidarietà: ciò implica il conoscere le istituzioni pubbliche e le regole di libertà e di azione per difendersi dagli abusi di potere.</w:t>
            </w:r>
          </w:p>
          <w:p>
            <w:pPr>
              <w:pStyle w:val="Normal"/>
              <w:widowControl/>
              <w:shd w:val="clear" w:color="auto" w:fill="FFFFFF"/>
              <w:spacing w:lineRule="atLeast" w:line="312" w:before="0" w:after="300"/>
              <w:jc w:val="left"/>
              <w:rPr>
                <w:color w:val="000000" w:themeColor="text1"/>
                <w:szCs w:val="24"/>
              </w:rPr>
            </w:pPr>
            <w:r>
              <w:rPr>
                <w:color w:val="000000" w:themeColor="text1"/>
                <w:kern w:val="0"/>
                <w:szCs w:val="24"/>
                <w:lang w:val="it-IT" w:bidi="ar-SA"/>
              </w:rPr>
              <w:t>-“Saper essere”, ovvero vivere la cittadinanza interiorizzando le regole democratiche e la sensibilità ai valori e ai diritti umani.</w:t>
            </w:r>
          </w:p>
          <w:p>
            <w:pPr>
              <w:pStyle w:val="Normal"/>
              <w:widowControl/>
              <w:shd w:val="clear" w:color="auto" w:fill="FFFFFF"/>
              <w:spacing w:lineRule="atLeast" w:line="288" w:before="0" w:after="300"/>
              <w:jc w:val="left"/>
              <w:rPr>
                <w:color w:val="000000" w:themeColor="text1"/>
                <w:szCs w:val="24"/>
              </w:rPr>
            </w:pPr>
            <w:r>
              <w:rPr>
                <w:color w:val="000000" w:themeColor="text1"/>
                <w:kern w:val="0"/>
                <w:szCs w:val="24"/>
                <w:lang w:val="it-IT" w:bidi="ar-SA"/>
              </w:rPr>
              <w:t>-“Saper fare”, ovvero prendere decisioni nella sfera sociale e civile in maniera </w:t>
            </w:r>
            <w:r>
              <w:rPr>
                <w:color w:val="000000" w:themeColor="text1"/>
                <w:spacing w:val="-2"/>
                <w:kern w:val="0"/>
                <w:szCs w:val="24"/>
                <w:lang w:val="it-IT" w:bidi="ar-SA"/>
              </w:rPr>
              <w:t>partecipativa, </w:t>
            </w:r>
            <w:r>
              <w:rPr>
                <w:color w:val="000000" w:themeColor="text1"/>
                <w:kern w:val="0"/>
                <w:szCs w:val="24"/>
                <w:lang w:val="it-IT" w:bidi="ar-SA"/>
              </w:rPr>
              <w:t>assumendosi impegno e responsabilità: questa è la cittadinanza </w:t>
            </w:r>
            <w:r>
              <w:rPr>
                <w:color w:val="000000" w:themeColor="text1"/>
                <w:spacing w:val="-2"/>
                <w:kern w:val="0"/>
                <w:szCs w:val="24"/>
                <w:lang w:val="it-IT" w:bidi="ar-SA"/>
              </w:rPr>
              <w:t>deliberativa.</w:t>
            </w:r>
          </w:p>
        </w:tc>
      </w:tr>
    </w:tbl>
    <w:p>
      <w:pPr>
        <w:pStyle w:val="Normal"/>
        <w:rPr/>
      </w:pPr>
      <w:r>
        <w:rPr/>
      </w:r>
    </w:p>
    <w:p>
      <w:pPr>
        <w:pStyle w:val="Normal"/>
        <w:shd w:val="clear" w:color="auto" w:fill="FFFFFF"/>
        <w:spacing w:before="37" w:after="300"/>
        <w:rPr>
          <w:color w:val="455B71"/>
          <w:szCs w:val="27"/>
        </w:rPr>
      </w:pPr>
      <w:r>
        <w:rPr>
          <w:rFonts w:ascii="Georgia" w:hAnsi="Georgia"/>
          <w:b w:val="false"/>
          <w:bCs w:val="false"/>
          <w:color w:val="000000"/>
          <w:sz w:val="27"/>
          <w:szCs w:val="24"/>
          <w:u w:val="single"/>
        </w:rPr>
        <w:t>(La scelta si esercita contrassegnando la voce che interessa)</w:t>
      </w:r>
    </w:p>
    <w:p>
      <w:pPr>
        <w:pStyle w:val="Normal"/>
        <w:jc w:val="both"/>
        <w:rPr>
          <w:color w:val="000000"/>
          <w:szCs w:val="24"/>
        </w:rPr>
      </w:pPr>
      <w:r>
        <w:rPr>
          <w:color w:val="000000"/>
          <w:szCs w:val="24"/>
        </w:rPr>
        <w:tab/>
        <w:tab/>
        <w:tab/>
        <w:tab/>
      </w:r>
    </w:p>
    <w:p>
      <w:pPr>
        <w:pStyle w:val="Normal"/>
        <w:rPr>
          <w:color w:val="000000"/>
          <w:szCs w:val="24"/>
        </w:rPr>
      </w:pPr>
      <w:r>
        <w:rPr>
          <w:color w:val="000000"/>
          <w:szCs w:val="24"/>
        </w:rPr>
        <w:t>Firma: __________________________________________________________________</w:t>
      </w:r>
    </w:p>
    <w:p>
      <w:pPr>
        <w:pStyle w:val="Normal"/>
        <w:rPr>
          <w:color w:val="000000"/>
          <w:szCs w:val="24"/>
        </w:rPr>
      </w:pPr>
      <w:r>
        <w:rPr>
          <w:color w:val="000000"/>
          <w:szCs w:val="24"/>
        </w:rPr>
        <w:t xml:space="preserve">Genitore </w:t>
      </w:r>
    </w:p>
    <w:p>
      <w:pPr>
        <w:pStyle w:val="Normal"/>
        <w:rPr>
          <w:color w:val="000000"/>
          <w:szCs w:val="24"/>
        </w:rPr>
      </w:pPr>
      <w:r>
        <w:rPr>
          <w:color w:val="000000"/>
          <w:szCs w:val="24"/>
        </w:rPr>
      </w:r>
    </w:p>
    <w:p>
      <w:pPr>
        <w:pStyle w:val="Normal"/>
        <w:rPr>
          <w:color w:val="000000"/>
          <w:szCs w:val="24"/>
        </w:rPr>
      </w:pPr>
      <w:r>
        <w:rPr>
          <w:color w:val="000000"/>
          <w:szCs w:val="24"/>
        </w:rPr>
        <w:t>________________________________________________________________________</w:t>
      </w:r>
    </w:p>
    <w:p>
      <w:pPr>
        <w:pStyle w:val="Normal"/>
        <w:jc w:val="both"/>
        <w:rPr>
          <w:color w:val="000000"/>
          <w:sz w:val="20"/>
        </w:rPr>
      </w:pPr>
      <w:r>
        <w:rPr>
          <w:color w:val="000000"/>
          <w:sz w:val="20"/>
        </w:rPr>
        <w:t xml:space="preserve">Firma dello studente e 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w:t>
      </w:r>
    </w:p>
    <w:p>
      <w:pPr>
        <w:pStyle w:val="Normal"/>
        <w:jc w:val="both"/>
        <w:rPr>
          <w:color w:val="000000"/>
          <w:sz w:val="20"/>
        </w:rPr>
      </w:pPr>
      <w:r>
        <w:rPr>
          <w:color w:val="000000"/>
          <w:sz w:val="2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pPr>
        <w:pStyle w:val="Normal"/>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Data_________________________________</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jc w:val="both"/>
        <w:rPr>
          <w:b/>
          <w:b/>
          <w:color w:val="000000"/>
          <w:sz w:val="18"/>
          <w:szCs w:val="18"/>
        </w:rPr>
      </w:pPr>
      <w:r>
        <w:rPr>
          <w:b/>
          <w:color w:val="000000"/>
          <w:sz w:val="18"/>
          <w:szCs w:val="18"/>
        </w:rPr>
        <w:t>N.B. I dati rilasciati sono utilizzati dalla scuola nel rispetto delle norme sulla privacy, previste dal d. lgs. 196 d.lgs. 2003 e successive modificazioni e dal Regolamento (UE) 2016/679 del Parlamento europeo e del Consiglio.</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both"/>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26f"/>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paragraph" w:styleId="Titolo1">
    <w:name w:val="Heading 1"/>
    <w:basedOn w:val="Normal"/>
    <w:next w:val="Normal"/>
    <w:link w:val="Titolo1Carattere"/>
    <w:uiPriority w:val="9"/>
    <w:qFormat/>
    <w:rsid w:val="007504e2"/>
    <w:pPr>
      <w:keepNext w:val="true"/>
      <w:keepLines/>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7504e2"/>
    <w:rPr>
      <w:rFonts w:ascii="Cambria" w:hAnsi="Cambria" w:eastAsia="" w:cs="" w:asciiTheme="majorHAnsi" w:cstheme="majorBidi" w:eastAsiaTheme="majorEastAsia" w:hAnsiTheme="majorHAnsi"/>
      <w:b/>
      <w:bCs/>
      <w:color w:val="365F91" w:themeColor="accent1" w:themeShade="bf"/>
      <w:sz w:val="28"/>
      <w:szCs w:val="28"/>
    </w:rPr>
  </w:style>
  <w:style w:type="character" w:styleId="IntestazioneCarattere" w:customStyle="1">
    <w:name w:val="Intestazione Carattere"/>
    <w:basedOn w:val="DefaultParagraphFont"/>
    <w:link w:val="Intestazione"/>
    <w:uiPriority w:val="99"/>
    <w:qFormat/>
    <w:rsid w:val="008d0089"/>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link w:val="Pidipagina"/>
    <w:uiPriority w:val="99"/>
    <w:qFormat/>
    <w:rsid w:val="008d0089"/>
    <w:rPr>
      <w:rFonts w:ascii="Times New Roman" w:hAnsi="Times New Roman" w:eastAsia="Times New Roman" w:cs="Times New Roman"/>
      <w:sz w:val="24"/>
      <w:szCs w:val="20"/>
      <w:lang w:eastAsia="it-IT"/>
    </w:rPr>
  </w:style>
  <w:style w:type="character" w:styleId="Annotationreference">
    <w:name w:val="annotation reference"/>
    <w:basedOn w:val="DefaultParagraphFont"/>
    <w:uiPriority w:val="99"/>
    <w:semiHidden/>
    <w:unhideWhenUsed/>
    <w:qFormat/>
    <w:rsid w:val="001d45b7"/>
    <w:rPr>
      <w:sz w:val="16"/>
      <w:szCs w:val="16"/>
    </w:rPr>
  </w:style>
  <w:style w:type="character" w:styleId="TestocommentoCarattere" w:customStyle="1">
    <w:name w:val="Testo commento Carattere"/>
    <w:basedOn w:val="DefaultParagraphFont"/>
    <w:link w:val="Testocommento"/>
    <w:uiPriority w:val="99"/>
    <w:semiHidden/>
    <w:qFormat/>
    <w:rsid w:val="001d45b7"/>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uiPriority w:val="99"/>
    <w:semiHidden/>
    <w:qFormat/>
    <w:rsid w:val="001d45b7"/>
    <w:rPr>
      <w:rFonts w:ascii="Times New Roman" w:hAnsi="Times New Roman" w:eastAsia="Times New Roman" w:cs="Times New Roman"/>
      <w:b/>
      <w:bCs/>
      <w:sz w:val="20"/>
      <w:szCs w:val="20"/>
      <w:lang w:eastAsia="it-IT"/>
    </w:rPr>
  </w:style>
  <w:style w:type="character" w:styleId="TestofumettoCarattere" w:customStyle="1">
    <w:name w:val="Testo fumetto Carattere"/>
    <w:basedOn w:val="DefaultParagraphFont"/>
    <w:link w:val="Testofumetto"/>
    <w:uiPriority w:val="99"/>
    <w:semiHidden/>
    <w:qFormat/>
    <w:rsid w:val="001d45b7"/>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7504e2"/>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TOCHeading">
    <w:name w:val="TOC Heading"/>
    <w:basedOn w:val="Titolo1"/>
    <w:next w:val="Normal"/>
    <w:uiPriority w:val="39"/>
    <w:semiHidden/>
    <w:unhideWhenUsed/>
    <w:qFormat/>
    <w:rsid w:val="007504e2"/>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d0089"/>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d0089"/>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1d45b7"/>
    <w:pPr/>
    <w:rPr>
      <w:sz w:val="20"/>
    </w:rPr>
  </w:style>
  <w:style w:type="paragraph" w:styleId="Annotationsubject">
    <w:name w:val="annotation subject"/>
    <w:basedOn w:val="Annotationtext"/>
    <w:next w:val="Annotationtext"/>
    <w:link w:val="SoggettocommentoCarattere"/>
    <w:uiPriority w:val="99"/>
    <w:semiHidden/>
    <w:unhideWhenUsed/>
    <w:qFormat/>
    <w:rsid w:val="001d45b7"/>
    <w:pPr/>
    <w:rPr>
      <w:b/>
      <w:bCs/>
    </w:rPr>
  </w:style>
  <w:style w:type="paragraph" w:styleId="BalloonText">
    <w:name w:val="Balloon Text"/>
    <w:basedOn w:val="Normal"/>
    <w:link w:val="TestofumettoCarattere"/>
    <w:uiPriority w:val="99"/>
    <w:semiHidden/>
    <w:unhideWhenUsed/>
    <w:qFormat/>
    <w:rsid w:val="001d45b7"/>
    <w:pPr/>
    <w:rPr>
      <w:rFonts w:ascii="Tahoma" w:hAnsi="Tahoma" w:cs="Tahoma"/>
      <w:sz w:val="16"/>
      <w:szCs w:val="16"/>
    </w:rPr>
  </w:style>
  <w:style w:type="paragraph" w:styleId="Revision">
    <w:name w:val="Revision"/>
    <w:uiPriority w:val="99"/>
    <w:semiHidden/>
    <w:qFormat/>
    <w:rsid w:val="00394c1b"/>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5a77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LibreOffice/7.0.1.2$Windows_X86_64 LibreOffice_project/7cbcfc562f6eb6708b5ff7d7397325de9e764452</Application>
  <Pages>2</Pages>
  <Words>480</Words>
  <Characters>3188</Characters>
  <CharactersWithSpaces>3654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2022-11-30T18:43:00Z</dcterms:created>
  <dc:creator>MIUR</dc:creator>
  <dc:description/>
  <dc:language>it-IT</dc:language>
  <cp:lastModifiedBy/>
  <cp:lastPrinted>2016-11-08T11:18:00Z</cp:lastPrinted>
  <dcterms:modified xsi:type="dcterms:W3CDTF">2024-12-19T11:07:07Z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